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1200"/>
        <w:gridCol w:w="800"/>
        <w:gridCol w:w="400"/>
        <w:gridCol w:w="220"/>
        <w:gridCol w:w="980"/>
        <w:gridCol w:w="400"/>
        <w:gridCol w:w="1700"/>
        <w:gridCol w:w="800"/>
      </w:tblGrid>
      <w:tr>
        <w:tblPrEx>
          <w:tblLayout w:type="fixed"/>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PrEx>
        <w:trPr>
          <w:trHeight w:val="18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“常乐智享两年期稳健配置净值型人民币理财产品”定期报告</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常乐智享两年期稳健配置净值型人民币理财产品</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CLZX24MW</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C1115421000011</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54737</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10"/>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Pr>
          <w:p>
            <w:pPr>
              <w:pStyle w:val="4"/>
            </w:pPr>
          </w:p>
        </w:tc>
        <w:tc>
          <w:tcPr>
            <w:tcW w:w="7300" w:type="dxa"/>
            <w:gridSpan w:val="11"/>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10"/>
          </w:tcPr>
          <w:p>
            <w:pPr>
              <w:pStyle w:val="4"/>
            </w:pP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585,594,132.28</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1.069820</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11"/>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1.069820</w:t>
            </w:r>
          </w:p>
        </w:tc>
        <w:tc>
          <w:tcPr>
            <w:tcW w:w="800" w:type="dxa"/>
          </w:tcPr>
          <w:p>
            <w:pPr>
              <w:pStyle w:val="4"/>
            </w:pPr>
          </w:p>
        </w:tc>
      </w:tr>
      <w:tr>
        <w:tblPrEx>
          <w:tblLayout w:type="fixed"/>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4"/>
          </w:tcPr>
          <w:p>
            <w:pPr>
              <w:pStyle w:val="4"/>
            </w:pPr>
          </w:p>
        </w:tc>
        <w:tc>
          <w:tcPr>
            <w:tcW w:w="220" w:type="dxa"/>
          </w:tcPr>
          <w:p>
            <w:pPr>
              <w:pStyle w:val="4"/>
            </w:pPr>
          </w:p>
        </w:tc>
        <w:tc>
          <w:tcPr>
            <w:tcW w:w="3080" w:type="dxa"/>
            <w:gridSpan w:val="3"/>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558,606,732.53</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95.22%</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543,990,272.26</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92.72%</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14,616,460.27</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2.49%</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17,921,107.48</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3.05%</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17,921,107.48</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3.05%</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10,145,749.15</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1.73%</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586,673,589.16</w:t>
            </w:r>
          </w:p>
        </w:tc>
        <w:tc>
          <w:tcPr>
            <w:tcW w:w="33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4"/>
          </w:tcPr>
          <w:p>
            <w:pPr>
              <w:pStyle w:val="4"/>
            </w:pPr>
          </w:p>
        </w:tc>
        <w:tc>
          <w:tcPr>
            <w:tcW w:w="220" w:type="dxa"/>
          </w:tcPr>
          <w:p>
            <w:pPr>
              <w:pStyle w:val="4"/>
            </w:pPr>
          </w:p>
        </w:tc>
        <w:tc>
          <w:tcPr>
            <w:tcW w:w="3080" w:type="dxa"/>
            <w:gridSpan w:val="3"/>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137,376,287.00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23.46%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30,562,899.45</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5.22%</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405,426,502.36</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69.23%</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1,187,482.90</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0.20%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543,990,272.26</w:t>
            </w:r>
          </w:p>
        </w:tc>
        <w:tc>
          <w:tcPr>
            <w:tcW w:w="308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92.89%</w:t>
            </w:r>
          </w:p>
        </w:tc>
        <w:tc>
          <w:tcPr>
            <w:tcW w:w="800" w:type="dxa"/>
          </w:tcPr>
          <w:p>
            <w:pPr>
              <w:pStyle w:val="4"/>
            </w:pPr>
          </w:p>
        </w:tc>
      </w:tr>
      <w:tr>
        <w:tblPrEx>
          <w:tblLayout w:type="fixed"/>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2128008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21中国银行二级01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52,657,960.27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8.99%</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101900247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19连云港MTN002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39,600,000.00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40,418,074.70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6.90%</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1921017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19武汉农商二级01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32,000,000.00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33,454,676.60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5.71%</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2080043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20泰信债01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31,408,535.34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5.36%</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SS194146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22盐投D1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31,151,592.32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5.32%</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200313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20进出13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30,562,899.45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5.22%</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032001047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20宜兴经开PPN001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30,178,620.78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5.15%</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SS196459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22邳恒01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25,000,000.00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26,065,068.49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4.45%</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SZ114476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19惠城铁</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23,000,000.00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24,775,330.71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4.23%</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1880150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18金湖交投债</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39,000,000.00</w:t>
            </w:r>
          </w:p>
        </w:tc>
        <w:tc>
          <w:tcPr>
            <w:tcW w:w="20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24,572,744.42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4.20%</w:t>
            </w:r>
          </w:p>
        </w:tc>
        <w:tc>
          <w:tcPr>
            <w:tcW w:w="800" w:type="dxa"/>
          </w:tcPr>
          <w:p>
            <w:pPr>
              <w:pStyle w:val="4"/>
            </w:pPr>
          </w:p>
        </w:tc>
      </w:tr>
      <w:tr>
        <w:tblPrEx>
          <w:tblLayout w:type="fixed"/>
        </w:tblPrEx>
        <w:trPr>
          <w:trHeight w:val="3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报告期末非标准化债权类资产明细</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融资客户</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名称</w:t>
            </w:r>
          </w:p>
        </w:tc>
        <w:tc>
          <w:tcPr>
            <w:tcW w:w="12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到期日</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资产类型</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交易结构</w:t>
            </w:r>
          </w:p>
        </w:tc>
        <w:tc>
          <w:tcPr>
            <w:tcW w:w="21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风险状况</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宁波舜农集团有限公司</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20宁波舜农01</w:t>
            </w:r>
          </w:p>
        </w:tc>
        <w:tc>
          <w:tcPr>
            <w:tcW w:w="12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center"/>
            </w:pPr>
            <w:r>
              <w:rPr>
                <w:rFonts w:ascii="原版宋体" w:hAnsi="原版宋体" w:eastAsia="原版宋体" w:cs="原版宋体"/>
                <w:color w:val="000000"/>
                <w:sz w:val="20"/>
              </w:rPr>
              <w:t>2023-03-20</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理财直融工具</w:t>
            </w:r>
          </w:p>
        </w:tc>
        <w:tc>
          <w:tcPr>
            <w:tcW w:w="12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直接投资</w:t>
            </w:r>
          </w:p>
        </w:tc>
        <w:tc>
          <w:tcPr>
            <w:tcW w:w="21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目前未发生违约或逾期事件</w:t>
            </w:r>
          </w:p>
        </w:tc>
        <w:tc>
          <w:tcPr>
            <w:tcW w:w="800" w:type="dxa"/>
          </w:tcPr>
          <w:p>
            <w:pPr>
              <w:pStyle w:val="4"/>
            </w:pPr>
          </w:p>
        </w:tc>
      </w:tr>
      <w:tr>
        <w:tblPrEx>
          <w:tblLayout w:type="fixed"/>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4.5 报告期末投资组合流动性风险分析</w:t>
            </w:r>
          </w:p>
        </w:tc>
        <w:tc>
          <w:tcPr>
            <w:tcW w:w="800" w:type="dxa"/>
          </w:tcPr>
          <w:p>
            <w:pPr>
              <w:pStyle w:val="4"/>
            </w:pPr>
          </w:p>
        </w:tc>
      </w:tr>
      <w:tr>
        <w:tblPrEx>
          <w:tblLayout w:type="fixed"/>
        </w:tblPrEx>
        <w:trPr>
          <w:trHeight w:val="1200" w:hRule="exac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1200" w:type="dxa"/>
          </w:tcPr>
          <w:p>
            <w:pPr>
              <w:pStyle w:val="4"/>
            </w:pPr>
          </w:p>
        </w:tc>
        <w:tc>
          <w:tcPr>
            <w:tcW w:w="800" w:type="dxa"/>
          </w:tcPr>
          <w:p>
            <w:pPr>
              <w:pStyle w:val="4"/>
            </w:pPr>
          </w:p>
        </w:tc>
        <w:tc>
          <w:tcPr>
            <w:tcW w:w="400" w:type="dxa"/>
          </w:tcPr>
          <w:p>
            <w:pPr>
              <w:pStyle w:val="4"/>
            </w:pPr>
          </w:p>
        </w:tc>
        <w:tc>
          <w:tcPr>
            <w:tcW w:w="1200" w:type="dxa"/>
            <w:gridSpan w:val="2"/>
          </w:tcPr>
          <w:p>
            <w:pPr>
              <w:pStyle w:val="4"/>
            </w:pPr>
          </w:p>
        </w:tc>
        <w:tc>
          <w:tcPr>
            <w:tcW w:w="400" w:type="dxa"/>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bookmarkStart w:id="3" w:name="_GoBack" w:colFirst="1" w:colLast="9"/>
          </w:p>
        </w:tc>
        <w:tc>
          <w:tcPr>
            <w:tcW w:w="10700" w:type="dxa"/>
            <w:gridSpan w:val="15"/>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常熟农商银行-常乐智享两年期稳健配置净值型人民币理财产品</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szCs w:val="20"/>
                <w:lang w:eastAsia="zh-CN"/>
              </w:rPr>
              <w:t>账号</w:t>
            </w:r>
          </w:p>
        </w:tc>
        <w:tc>
          <w:tcPr>
            <w:tcW w:w="8643" w:type="dxa"/>
            <w:gridSpan w:val="13"/>
            <w:tcMar>
              <w:top w:w="0" w:type="dxa"/>
              <w:left w:w="0" w:type="dxa"/>
              <w:bottom w:w="0" w:type="dxa"/>
              <w:right w:w="0" w:type="dxa"/>
            </w:tcMar>
            <w:vAlign w:val="center"/>
          </w:tcPr>
          <w:p>
            <w:pPr>
              <w:ind w:left="0" w:leftChars="0"/>
              <w:jc w:val="center"/>
            </w:pPr>
            <w:r>
              <w:rPr>
                <w:rFonts w:hint="eastAsia" w:asciiTheme="minorEastAsia" w:hAnsiTheme="minorEastAsia" w:eastAsiaTheme="minorEastAsia" w:cstheme="minorEastAsia"/>
                <w:sz w:val="20"/>
                <w:szCs w:val="20"/>
                <w:lang w:eastAsia="zh-CN"/>
              </w:rPr>
              <w:t>512902284610628</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3"/>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5"/>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190B3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2023-01-31T04:11:54Z</dcterms:created>
  <dc:creator>crcb</dc:creator>
  <cp:lastModifiedBy>crcb</cp:lastModifiedBy>
  <dcterms:modified xsi:type="dcterms:W3CDTF">2023-01-31T04:12:25Z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