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400"/>
        <w:gridCol w:w="200"/>
        <w:gridCol w:w="7100"/>
        <w:gridCol w:w="800"/>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3"/>
            <w:tcMar>
              <w:top w:w="0" w:type="dxa"/>
              <w:left w:w="0" w:type="dxa"/>
              <w:bottom w:w="0" w:type="dxa"/>
              <w:right w:w="0" w:type="dxa"/>
            </w:tcMar>
            <w:vAlign w:val="center"/>
          </w:tcPr>
          <w:p>
            <w:pPr>
              <w:ind/>
              <w:jc w:val="center"/>
              <w:spacing w:lineRule="auto" w:line="240" w:after="0" w:before="0"/>
            </w:pPr>
            <w:r>
              <w:rPr>
                <w:rFonts w:ascii="原版宋体" w:hAnsi="原版宋体" w:eastAsia="原版宋体" w:cs="原版宋体"/>
                <w:color w:val="000000"/>
                <w:sz w:val="40"/>
                <w:b w:val="true"/>
              </w:rPr>
              <w:t xml:space="preserve">“常乐星享月月享新资金1号净值型理财产品”定期报告</w:t>
            </w: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top"/>
          </w:tcPr>
          <w:p>
            <w:pPr>
              <w:ind/>
            </w:pPr>
            <w:r>
              <w:rPr>
                <w:rFonts w:ascii="原版宋体" w:hAnsi="原版宋体" w:eastAsia="原版宋体" w:cs="原版宋体"/>
                <w:color w:val="000000"/>
                <w:sz w:val="20"/>
              </w:rPr>
              <w:t xml:space="preserve">产品管理人：常熟农商银行</w:t>
            </w: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top"/>
          </w:tcPr>
          <w:p>
            <w:pPr>
              <w:ind/>
            </w:pPr>
            <w:r>
              <w:rPr>
                <w:rFonts w:ascii="原版宋体" w:hAnsi="原版宋体" w:eastAsia="原版宋体" w:cs="原版宋体"/>
                <w:color w:val="000000"/>
                <w:sz w:val="20"/>
              </w:rPr>
              <w:t xml:space="preserve">产品托管人：招商银行</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top"/>
          </w:tcPr>
          <w:p>
            <w:pPr>
              <w:ind/>
            </w:pPr>
            <w:r>
              <w:rPr>
                <w:rFonts w:ascii="原版宋体" w:hAnsi="原版宋体" w:eastAsia="原版宋体" w:cs="原版宋体"/>
                <w:color w:val="000000"/>
                <w:sz w:val="20"/>
                <w:b w:val="true"/>
              </w:rPr>
              <w:t xml:space="preserve">1  重要提示</w:t>
            </w: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top"/>
          </w:tcPr>
          <w:p>
            <w:pPr>
              <w:ind/>
            </w:pPr>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top"/>
          </w:tcPr>
          <w:p>
            <w:pPr>
              <w:ind/>
            </w:pPr>
            <w:r>
              <w:rPr>
                <w:rFonts w:ascii="原版宋体" w:hAnsi="原版宋体" w:eastAsia="原版宋体" w:cs="原版宋体"/>
                <w:color w:val="000000"/>
                <w:sz w:val="20"/>
              </w:rPr>
              <w:t xml:space="preserve">    本报告中财务资料未经审计。</w:t>
            </w: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top"/>
          </w:tcPr>
          <w:p>
            <w:pPr>
              <w:ind/>
            </w:pPr>
            <w:r>
              <w:rPr>
                <w:rFonts w:ascii="原版宋体" w:hAnsi="原版宋体" w:eastAsia="原版宋体" w:cs="原版宋体"/>
                <w:color w:val="000000"/>
                <w:sz w:val="20"/>
              </w:rPr>
              <w:t xml:space="preserve">    本报告期自2022年01月01日起至12月31日止。</w:t>
            </w: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b w:val="true"/>
              </w:rPr>
              <w:t xml:space="preserve">2  产品概况</w:t>
            </w:r>
          </w:p>
        </w:tc>
        <w:tc>
          <w:tcPr>
     </w:tcPr>
          <w:p>
            <w:pPr>
              <w:pStyle w:val="EMPTY_CELL_STYLE"/>
            </w:pPr>
          </w:p>
        </w:tc>
      </w:tr>
      <w:tr>
        <w:trPr>
          <w:trHeight w:hRule="exact" w:val="8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产品名称</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常乐星享月月享新资金1号净值型理财产品</w:t>
            </w:r>
          </w:p>
        </w:tc>
        <w:tc>
          <w:tcPr>
     </w:tcPr>
          <w:p>
            <w:pPr>
              <w:pStyle w:val="EMPTY_CELL_STYLE"/>
            </w:pPr>
          </w:p>
        </w:tc>
      </w:tr>
      <w:tr>
        <w:trPr>
          <w:trHeight w:hRule="exact" w:val="4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产品编码</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CLXXYX001</w:t>
            </w:r>
          </w:p>
        </w:tc>
        <w:tc>
          <w:tcPr>
     </w:tcPr>
          <w:p>
            <w:pPr>
              <w:pStyle w:val="EMPTY_CELL_STYLE"/>
            </w:pPr>
          </w:p>
        </w:tc>
      </w:tr>
      <w:tr>
        <w:trPr>
          <w:trHeight w:hRule="exact" w:val="4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全国银行业理财信息登记系统编码</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C1115421000008</w:t>
            </w:r>
          </w:p>
        </w:tc>
        <w:tc>
          <w:tcPr>
     </w:tcPr>
          <w:p>
            <w:pPr>
              <w:pStyle w:val="EMPTY_CELL_STYLE"/>
            </w:pPr>
          </w:p>
        </w:tc>
      </w:tr>
      <w:tr>
        <w:trPr>
          <w:trHeight w:hRule="exact" w:val="4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产品运作方式</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开放式净值型</w:t>
            </w:r>
          </w:p>
        </w:tc>
        <w:tc>
          <w:tcPr>
     </w:tcPr>
          <w:p>
            <w:pPr>
              <w:pStyle w:val="EMPTY_CELL_STYLE"/>
            </w:pPr>
          </w:p>
        </w:tc>
      </w:tr>
      <w:tr>
        <w:trPr>
          <w:trHeight w:hRule="exact" w:val="4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产品类型</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固定收益类</w:t>
            </w:r>
          </w:p>
        </w:tc>
        <w:tc>
          <w:tcPr>
     </w:tcPr>
          <w:p>
            <w:pPr>
              <w:pStyle w:val="EMPTY_CELL_STYLE"/>
            </w:pPr>
          </w:p>
        </w:tc>
      </w:tr>
      <w:tr>
        <w:trPr>
          <w:trHeight w:hRule="exact" w:val="4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募集方式</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公募</w:t>
            </w:r>
          </w:p>
        </w:tc>
        <w:tc>
          <w:tcPr>
     </w:tcPr>
          <w:p>
            <w:pPr>
              <w:pStyle w:val="EMPTY_CELL_STYLE"/>
            </w:pPr>
          </w:p>
        </w:tc>
      </w:tr>
      <w:tr>
        <w:trPr>
          <w:trHeight w:hRule="exact" w:val="4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报告期末产品份额总额（万份）</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132821</w:t>
            </w:r>
          </w:p>
        </w:tc>
        <w:tc>
          <w:tcPr>
     </w:tcPr>
          <w:p>
            <w:pPr>
              <w:pStyle w:val="EMPTY_CELL_STYLE"/>
            </w:pPr>
          </w:p>
        </w:tc>
      </w:tr>
      <w:tr>
        <w:trPr>
          <w:trHeight w:hRule="exact" w:val="4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产品管理人</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常熟农商银行</w:t>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3"/>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b w:val="true"/>
              </w:rPr>
              <w:t xml:space="preserve">3  产品净值表现</w:t>
            </w:r>
          </w:p>
        </w:tc>
        <w:tc>
          <w:tcPr>
     </w:tcPr>
          <w:p>
            <w:pPr>
              <w:pStyle w:val="EMPTY_CELL_STYLE"/>
            </w:pPr>
          </w:p>
        </w:tc>
      </w:tr>
      <w:tr>
        <w:trPr>
          <w:trHeight w:hRule="exact" w:val="440"/>
        </w:trPr>
        <w:tc>
          <w:tcPr>
     </w:tcPr>
          <w:p>
            <w:pPr>
              <w:pStyle w:val="EMPTY_CELL_STYLE"/>
            </w:pPr>
          </w:p>
        </w:tc>
        <w:tc>
          <w:tcPr>
     </w:tcPr>
          <w:p>
            <w:pPr>
              <w:pStyle w:val="EMPTY_CELL_STYLE"/>
            </w:pPr>
          </w:p>
        </w:tc>
        <w:tc>
          <w:tcPr>
            <w:gridSpan w:val="2"/>
            <w:tcMar>
              <w:top w:w="0" w:type="dxa"/>
              <w:left w:w="0" w:type="dxa"/>
              <w:bottom w:w="0" w:type="dxa"/>
              <w:right w:w="0" w:type="dxa"/>
            </w:tcMar>
            <w:vAlign w:val="center"/>
          </w:tcPr>
          <w:p>
            <w:pPr>
              <w:ind/>
              <w:jc w:val="right"/>
              <w:spacing w:lineRule="auto" w:line="360" w:after="0" w:before="0"/>
            </w:pPr>
            <w:r>
              <w:rPr>
                <w:rFonts w:ascii="原版宋体" w:hAnsi="原版宋体" w:eastAsia="原版宋体" w:cs="原版宋体"/>
                <w:color w:val="000000"/>
                <w:sz w:val="20"/>
              </w:rPr>
              <w:t xml:space="preserve">（单位：元）</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报告期（2022年01月01日-2022年12月31日）</w:t>
            </w:r>
          </w:p>
        </w:tc>
        <w:tc>
          <w:tcPr>
     </w:tcPr>
          <w:p>
            <w:pPr>
              <w:pStyle w:val="EMPTY_CELL_STYLE"/>
            </w:pPr>
          </w:p>
        </w:tc>
      </w:tr>
      <w:tr>
        <w:trPr>
          <w:trHeight w:hRule="exact" w:val="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1.期末产品资产净值</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1,427,605,975.01</w:t>
            </w:r>
          </w:p>
        </w:tc>
        <w:tc>
          <w:tcPr>
     </w:tcPr>
          <w:p>
            <w:pPr>
              <w:pStyle w:val="EMPTY_CELL_STYLE"/>
            </w:pPr>
          </w:p>
        </w:tc>
      </w:tr>
      <w:tr>
        <w:trPr>
          <w:trHeight w:hRule="exact" w:val="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2.期末产品份额净值</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1.074830</w:t>
            </w:r>
          </w:p>
        </w:tc>
        <w:tc>
          <w:tcPr>
     </w:tcPr>
          <w:p>
            <w:pPr>
              <w:pStyle w:val="EMPTY_CELL_STYLE"/>
            </w:pPr>
          </w:p>
        </w:tc>
      </w:tr>
      <w:tr>
        <w:trPr>
          <w:trHeight w:hRule="exact" w:val="4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3.期末产品份额累计净值</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1.074830</w:t>
            </w:r>
          </w:p>
        </w:tc>
        <w:tc>
          <w:tcPr>
     </w:tcPr>
          <w:p>
            <w:pPr>
              <w:pStyle w:val="EMPTY_CELL_STYLE"/>
            </w:pPr>
          </w:p>
        </w:tc>
      </w:tr>
    </w:tbl>
    <w:tbl>
      <w:tblPr>
        <w:tblLayout w:type="fixed"/>
      </w:tblPr>
      <w:tblGrid>
        <w:gridCol w:w="1"/>
        <w:gridCol w:w="800"/>
        <w:gridCol w:w="3200"/>
        <w:gridCol w:w="20"/>
        <w:gridCol w:w="3380"/>
        <w:gridCol w:w="220"/>
        <w:gridCol w:w="3080"/>
        <w:gridCol w:w="800"/>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6"/>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b w:val="true"/>
              </w:rPr>
              <w:t xml:space="preserve">4  投资组合报告</w:t>
            </w:r>
          </w:p>
        </w:tc>
        <w:tc>
          <w:tcPr>
     </w:tcPr>
          <w:p>
            <w:pPr>
              <w:pStyle w:val="EMPTY_CELL_STYLE"/>
            </w:pPr>
          </w:p>
        </w:tc>
      </w:tr>
      <w:tr>
        <w:trPr>
          <w:trHeight w:hRule="exact" w:val="420"/>
        </w:trPr>
        <w:tc>
          <w:tcPr>
     </w:tcPr>
          <w:p>
            <w:pPr>
              <w:pStyle w:val="EMPTY_CELL_STYLE"/>
            </w:pPr>
          </w:p>
        </w:tc>
        <w:tc>
          <w:tcPr>
            <w:gridSpan w:val="6"/>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rPr>
              <w:t xml:space="preserve">4.1 报告期末产品资产组合情况</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序号</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项目</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金额（元）</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占产品总资产的比例（%）</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固定收益投资</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1,459,131,123.44</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99.86%</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其中：债券</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1,459,131,123.44</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99.86%</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      非标资产</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权益投资</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其中：基金</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3</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金融衍生品投资</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4</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买入返售金融资产</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其中：买断式回购</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5</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银行存款合计</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2,066,295.86</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0.14%</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6</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其他资产</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7</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合计</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1,461,197,419.30</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100.00%</w:t>
            </w: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gridSpan w:val="6"/>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rPr>
              <w:t xml:space="preserve">4.2 报告期末按债券品种分类的债券投资组合</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序号</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债券品种</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金额（元）</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占产品资产净值比例（％）</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1</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国家债券</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央行票据</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3</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金融债券</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75,822,633.29</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5.31%</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其中：政策性金融债</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75,822,633.29</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5.31%</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4</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企业债券</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1,380,175,534.63</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96.68%</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5</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企业短期融资券</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3,132,955.52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0.22%</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6</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可转债</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7</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其他</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0.00%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8</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合计</w:t>
            </w:r>
          </w:p>
        </w:tc>
        <w:tc>
          <w:tcPr>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1,459,131,123.44</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102.21%</w:t>
            </w:r>
          </w:p>
        </w:tc>
        <w:tc>
          <w:tcPr>
     </w:tcPr>
          <w:p>
            <w:pPr>
              <w:pStyle w:val="EMPTY_CELL_STYLE"/>
            </w:pPr>
          </w:p>
        </w:tc>
      </w:tr>
    </w:tbl>
    <w:tbl>
      <w:tblPr>
        <w:tblLayout w:type="fixed"/>
      </w:tblPr>
      <w:tblGrid>
        <w:gridCol w:w="1"/>
        <w:gridCol w:w="800"/>
        <w:gridCol w:w="2000"/>
        <w:gridCol w:w="2200"/>
        <w:gridCol w:w="2000"/>
        <w:gridCol w:w="2000"/>
        <w:gridCol w:w="1700"/>
        <w:gridCol w:w="800"/>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gridSpan w:val="6"/>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rPr>
              <w:t xml:space="preserve">4.3 报告期末按市值占产品资产净值比例大小排名的前十名资产投资明细</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序号</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资产代码</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资产名称</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数量</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b w:val="true"/>
              </w:rPr>
              <w:t xml:space="preserve">市值(元)</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center"/>
            </w:pPr>
            <w:r>
              <w:rPr>
                <w:rFonts w:ascii="原版宋体" w:hAnsi="原版宋体" w:eastAsia="原版宋体" w:cs="原版宋体"/>
                <w:color w:val="000000"/>
                <w:sz w:val="20"/>
                <w:b w:val="true"/>
              </w:rPr>
              <w:t xml:space="preserve">占产品资产净值比例（％）</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032280098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22德清交通PPN001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80,000,000.00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83,370,533.60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5.84%</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032200112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22盐城资产PPN001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77,000,000.00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79,723,229.76</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5.58%</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3</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SS178255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21连城01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77,000,000.00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79,703,375.02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5.58%</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4</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SS178586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21镇文03</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73,000,000.00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75,684,734.01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5.30%</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5</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032100487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21连云城建PPN001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70,000,000.00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72,083,921.22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5.05%</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6</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032280295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22上饶城投PPN003</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67,000,000.00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69,519,903.51</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4.87%</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7</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032100475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21溧水经开PPN002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60,000,000.00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62,096,219.85</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4.35%</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8</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220206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22国开06</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60,000,000.00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60,626,132.88</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4.25%</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9</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032180028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21先行控股PPN003</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52,000,000.00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51,881,389.82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3.63%</w:t>
            </w:r>
          </w:p>
        </w:tc>
        <w:tc>
          <w:tcPr>
     </w:tcPr>
          <w:p>
            <w:pPr>
              <w:pStyle w:val="EMPTY_CELL_STYLE"/>
            </w:pPr>
          </w:p>
        </w:tc>
      </w:tr>
      <w:tr>
        <w:trPr>
          <w:trHeight w:hRule="exact" w:val="6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pPr>
            <w:r>
              <w:rPr>
                <w:rFonts w:ascii="原版宋体" w:hAnsi="原版宋体" w:eastAsia="原版宋体" w:cs="原版宋体"/>
                <w:color w:val="000000"/>
                <w:sz w:val="20"/>
              </w:rPr>
              <w:t xml:space="preserve"> 10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SZ133329        </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jc w:val="left"/>
            </w:pPr>
            <w:r>
              <w:rPr>
                <w:rFonts w:ascii="原版宋体" w:hAnsi="原版宋体" w:eastAsia="原版宋体" w:cs="原版宋体"/>
                <w:color w:val="000000"/>
                <w:sz w:val="20"/>
              </w:rPr>
              <w:t xml:space="preserve">22九城02</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50,000,000.00</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 xml:space="preserve">50,355,415.13</w:t>
            </w:r>
          </w:p>
        </w:tc>
        <w:tc>
          <w:tcPr>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 xml:space="preserve">3.53%</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rPr>
              <w:t xml:space="preserve">4.4 报告期末投资组合流动性风险分析</w:t>
            </w: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vAlign w:val="center"/>
          </w:tcPr>
          <w:p>
            <w:pPr>
              <w:ind/>
              <w:spacing w:lineRule="auto" w:line="360" w:after="0" w:before="0"/>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6"/>
            <w:tcMar>
              <w:top w:w="0" w:type="dxa"/>
              <w:left w:w="0" w:type="dxa"/>
              <w:bottom w:w="0" w:type="dxa"/>
              <w:right w:w="0" w:type="dxa"/>
            </w:tcMar>
            <w:vAlign w:val="top"/>
          </w:tcPr>
          <w:p>
            <w:pPr>
              <w:ind/>
              <w:spacing w:lineRule="auto" w:line="360" w:after="0" w:before="0"/>
            </w:pPr>
            <w:r>
              <w:rPr>
                <w:rFonts w:ascii="原版宋体" w:hAnsi="原版宋体" w:eastAsia="原版宋体" w:cs="原版宋体"/>
                <w:color w:val="000000"/>
                <w:sz w:val="20"/>
              </w:rPr>
              <w:t xml:space="preserve">    特此公告。</w:t>
            </w:r>
          </w:p>
        </w:tc>
        <w:tc>
          <w:tcPr>
     </w:tcPr>
          <w:p>
            <w:pPr>
              <w:pStyle w:val="EMPTY_CELL_STYLE"/>
            </w:pPr>
          </w:p>
        </w:tc>
      </w:tr>
      <w:tr>
        <w:trPr>
          <w:trHeight w:hRule="exact" w:val="400"/>
        </w:trPr>
        <w:tc>
          <w:tcPr>
     </w:tcPr>
          <w:p>
            <w:pPr>
              <w:pStyle w:val="EMPTY_CELL_STYLE"/>
            </w:pPr>
          </w:p>
        </w:tc>
        <w:tc>
          <w:tcPr>
            <w:gridSpan w:val="6"/>
            <w:tcMar>
              <w:top w:w="0" w:type="dxa"/>
              <w:left w:w="0" w:type="dxa"/>
              <w:bottom w:w="0" w:type="dxa"/>
              <w:right w:w="0" w:type="dxa"/>
            </w:tcMar>
            <w:vAlign w:val="top"/>
          </w:tcPr>
          <w:p>
            <w:pPr>
              <w:ind/>
              <w:jc w:val="right"/>
              <w:spacing w:lineRule="auto" w:line="360" w:after="0" w:before="0"/>
            </w:pPr>
            <w:r>
              <w:rPr>
                <w:rFonts w:ascii="原版宋体" w:hAnsi="原版宋体" w:eastAsia="原版宋体" w:cs="原版宋体"/>
                <w:color w:val="000000"/>
                <w:sz w:val="20"/>
              </w:rPr>
              <w:t xml:space="preserve">江苏常熟农村商业银行股份有限公司</w:t>
            </w:r>
          </w:p>
        </w:tc>
        <w:tc>
          <w:tcPr>
     </w:tcPr>
          <w:p>
            <w:pPr>
              <w:pStyle w:val="EMPTY_CELL_STYLE"/>
            </w:pPr>
          </w:p>
        </w:tc>
      </w:tr>
      <w:tr>
        <w:trPr>
          <w:trHeight w:hRule="exact" w:val="400"/>
        </w:trPr>
        <w:tc>
          <w:tcPr>
     </w:tcPr>
          <w:p>
            <w:pPr>
              <w:pStyle w:val="EMPTY_CELL_STYLE"/>
            </w:pPr>
          </w:p>
        </w:tc>
        <w:tc>
          <w:tcPr>
            <w:gridSpan w:val="6"/>
            <w:tcMar>
              <w:top w:w="0" w:type="dxa"/>
              <w:left w:w="0" w:type="dxa"/>
              <w:bottom w:w="0" w:type="dxa"/>
              <w:right w:w="0" w:type="dxa"/>
            </w:tcMar>
            <w:vAlign w:val="top"/>
          </w:tcPr>
          <w:p>
            <w:pPr>
              <w:ind/>
              <w:jc w:val="right"/>
              <w:spacing w:lineRule="auto" w:line="360" w:after="0" w:before="0"/>
            </w:pPr>
            <w:r>
              <w:rPr>
                <w:rFonts w:ascii="原版宋体" w:hAnsi="原版宋体" w:eastAsia="原版宋体" w:cs="原版宋体"/>
                <w:color w:val="000000"/>
                <w:sz w:val="20"/>
              </w:rPr>
              <w:t xml:space="preserve">2023年01月30日</w:t>
            </w:r>
          </w:p>
        </w:tc>
        <w:tc>
          <w:tcPr>
     </w:tcPr>
          <w:p>
            <w:pPr>
              <w:pStyle w:val="EMPTY_CELL_STYLE"/>
            </w:pPr>
          </w:p>
        </w:tc>
      </w:tr>
    </w:tbl>
    <w:sectPr>
      <w:pgSz w:w="13900" w:h="16860" w:orient="portrait" w:code="2538"/>
      <w:pgMar w:top="800" w:right="1200" w:bottom="440" w:left="12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