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1501" w:type="dxa"/>
        <w:tblInd w:w="0" w:type="dxa"/>
        <w:tblLayout w:type="fixed"/>
        <w:tblCellMar>
          <w:top w:w="0" w:type="dxa"/>
          <w:left w:w="10" w:type="dxa"/>
          <w:bottom w:w="0" w:type="dxa"/>
          <w:right w:w="10" w:type="dxa"/>
        </w:tblCellMar>
      </w:tblPr>
      <w:tblGrid>
        <w:gridCol w:w="1"/>
        <w:gridCol w:w="800"/>
        <w:gridCol w:w="1257"/>
        <w:gridCol w:w="743"/>
        <w:gridCol w:w="600"/>
        <w:gridCol w:w="200"/>
        <w:gridCol w:w="400"/>
        <w:gridCol w:w="20"/>
        <w:gridCol w:w="980"/>
        <w:gridCol w:w="2000"/>
        <w:gridCol w:w="400"/>
        <w:gridCol w:w="220"/>
        <w:gridCol w:w="1380"/>
        <w:gridCol w:w="1700"/>
        <w:gridCol w:w="800"/>
      </w:tblGrid>
      <w:tr>
        <w:tblPrEx>
          <w:tblLayout w:type="fixed"/>
          <w:tblCellMar>
            <w:top w:w="0" w:type="dxa"/>
            <w:left w:w="10" w:type="dxa"/>
            <w:bottom w:w="0" w:type="dxa"/>
            <w:right w:w="10" w:type="dxa"/>
          </w:tblCellMar>
        </w:tblPrEx>
        <w:trPr>
          <w:trHeight w:val="0" w:hRule="atLeast"/>
        </w:trPr>
        <w:tc>
          <w:tcPr>
            <w:tcW w:w="1" w:type="dxa"/>
          </w:tcPr>
          <w:p>
            <w:pPr>
              <w:pStyle w:val="4"/>
            </w:pPr>
            <w:bookmarkStart w:id="0" w:name="JR_PAGE_ANCHOR_0_1"/>
            <w:bookmarkEnd w:id="0"/>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18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240" w:lineRule="auto"/>
              <w:jc w:val="center"/>
            </w:pPr>
            <w:r>
              <w:rPr>
                <w:rFonts w:ascii="原版宋体" w:hAnsi="原版宋体" w:eastAsia="原版宋体" w:cs="原版宋体"/>
                <w:b/>
                <w:color w:val="000000"/>
                <w:sz w:val="40"/>
              </w:rPr>
              <w:t>“常乐睿享价值精选1号净值型人民币理财产品”定期报告</w:t>
            </w:r>
          </w:p>
        </w:tc>
        <w:tc>
          <w:tcPr>
            <w:tcW w:w="800" w:type="dxa"/>
          </w:tcPr>
          <w:p>
            <w:pPr>
              <w:pStyle w:val="4"/>
            </w:pPr>
          </w:p>
        </w:tc>
      </w:tr>
      <w:tr>
        <w:tblPrEx>
          <w:tblLayout w:type="fixed"/>
          <w:tblCellMar>
            <w:top w:w="0" w:type="dxa"/>
            <w:left w:w="10" w:type="dxa"/>
            <w:bottom w:w="0" w:type="dxa"/>
            <w:right w:w="10" w:type="dxa"/>
          </w:tblCellMar>
        </w:tblPrEx>
        <w:trPr>
          <w:trHeight w:val="7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产品管理人：常熟农商银行</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产品托管人：上海银行常熟支行</w:t>
            </w:r>
          </w:p>
        </w:tc>
        <w:tc>
          <w:tcPr>
            <w:tcW w:w="800" w:type="dxa"/>
          </w:tcPr>
          <w:p>
            <w:pPr>
              <w:pStyle w:val="4"/>
            </w:pPr>
          </w:p>
        </w:tc>
      </w:tr>
      <w:tr>
        <w:tblPrEx>
          <w:tblLayout w:type="fixed"/>
          <w:tblCellMar>
            <w:top w:w="0" w:type="dxa"/>
            <w:left w:w="10" w:type="dxa"/>
            <w:bottom w:w="0" w:type="dxa"/>
            <w:right w:w="10" w:type="dxa"/>
          </w:tblCellMar>
        </w:tblPrEx>
        <w:trPr>
          <w:trHeight w:val="11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b/>
                <w:color w:val="000000"/>
                <w:sz w:val="20"/>
              </w:rPr>
              <w:t>1  重要提示</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产品的过往业绩并不代表其未来表现。投资有风险，投资者在作出投资决策前应仔细阅读本产品说明书。</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本报告中财务资料未经审计。</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本报告期自2022年01月01日起至12月31日止。</w:t>
            </w:r>
          </w:p>
        </w:tc>
        <w:tc>
          <w:tcPr>
            <w:tcW w:w="800" w:type="dxa"/>
          </w:tcPr>
          <w:p>
            <w:pPr>
              <w:pStyle w:val="4"/>
            </w:pPr>
          </w:p>
        </w:tc>
      </w:tr>
      <w:tr>
        <w:tblPrEx>
          <w:tblLayout w:type="fixed"/>
          <w:tblCellMar>
            <w:top w:w="0" w:type="dxa"/>
            <w:left w:w="10" w:type="dxa"/>
            <w:bottom w:w="0" w:type="dxa"/>
            <w:right w:w="10" w:type="dxa"/>
          </w:tblCellMar>
        </w:tblPrEx>
        <w:trPr>
          <w:trHeight w:val="7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2  产品概况</w:t>
            </w:r>
          </w:p>
        </w:tc>
        <w:tc>
          <w:tcPr>
            <w:tcW w:w="800" w:type="dxa"/>
          </w:tcPr>
          <w:p>
            <w:pPr>
              <w:pStyle w:val="4"/>
            </w:pPr>
          </w:p>
        </w:tc>
      </w:tr>
      <w:tr>
        <w:tblPrEx>
          <w:tblLayout w:type="fixed"/>
          <w:tblCellMar>
            <w:top w:w="0" w:type="dxa"/>
            <w:left w:w="10" w:type="dxa"/>
            <w:bottom w:w="0" w:type="dxa"/>
            <w:right w:w="10" w:type="dxa"/>
          </w:tblCellMar>
        </w:tblPrEx>
        <w:trPr>
          <w:trHeight w:val="8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产品名称</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常乐睿享价值精选1号净值型人民币理财产品</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产品编码</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CLRXJZ001</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全国银行业理财信息登记系统编码</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C1115421000020</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产品运作方式</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开放式净值型</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产品类型</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权益类</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募集方式</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公募</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报告期末产品份额总额（万份）</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1326</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产品管理人</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常熟农商银行</w:t>
            </w:r>
          </w:p>
        </w:tc>
        <w:tc>
          <w:tcPr>
            <w:tcW w:w="800"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3  产品净值表现</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Pr>
          <w:p>
            <w:pPr>
              <w:pStyle w:val="4"/>
            </w:pPr>
          </w:p>
        </w:tc>
        <w:tc>
          <w:tcPr>
            <w:tcW w:w="7300" w:type="dxa"/>
            <w:gridSpan w:val="9"/>
            <w:tcMar>
              <w:top w:w="0" w:type="dxa"/>
              <w:left w:w="0" w:type="dxa"/>
              <w:bottom w:w="0" w:type="dxa"/>
              <w:right w:w="0" w:type="dxa"/>
            </w:tcMar>
            <w:vAlign w:val="center"/>
          </w:tcPr>
          <w:p>
            <w:pPr>
              <w:spacing w:before="0" w:after="0" w:line="360" w:lineRule="auto"/>
              <w:jc w:val="right"/>
            </w:pPr>
            <w:r>
              <w:rPr>
                <w:rFonts w:ascii="原版宋体" w:hAnsi="原版宋体" w:eastAsia="原版宋体" w:cs="原版宋体"/>
                <w:color w:val="000000"/>
                <w:sz w:val="20"/>
              </w:rPr>
              <w:t>（单位：元）</w:t>
            </w:r>
          </w:p>
        </w:tc>
        <w:tc>
          <w:tcPr>
            <w:tcW w:w="800"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报告期（2022年01月01日-2022年12月31日）</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1.期末产品资产净值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11,295,837.61</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2.期末产品份额净值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0.851259</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3.期末产品份额累计净值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0.851259</w:t>
            </w:r>
          </w:p>
        </w:tc>
        <w:tc>
          <w:tcPr>
            <w:tcW w:w="800"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1" w:name="JR_PAGE_ANCHOR_0_2"/>
            <w:bookmarkEnd w:id="1"/>
          </w:p>
        </w:tc>
        <w:tc>
          <w:tcPr>
            <w:tcW w:w="800" w:type="dxa"/>
          </w:tcPr>
          <w:p>
            <w:pPr>
              <w:pStyle w:val="4"/>
            </w:pPr>
          </w:p>
        </w:tc>
        <w:tc>
          <w:tcPr>
            <w:tcW w:w="3200" w:type="dxa"/>
            <w:gridSpan w:val="5"/>
          </w:tcPr>
          <w:p>
            <w:pPr>
              <w:pStyle w:val="4"/>
            </w:pPr>
          </w:p>
        </w:tc>
        <w:tc>
          <w:tcPr>
            <w:tcW w:w="20" w:type="dxa"/>
          </w:tcPr>
          <w:p>
            <w:pPr>
              <w:pStyle w:val="4"/>
            </w:pPr>
          </w:p>
        </w:tc>
        <w:tc>
          <w:tcPr>
            <w:tcW w:w="3380" w:type="dxa"/>
            <w:gridSpan w:val="3"/>
          </w:tcPr>
          <w:p>
            <w:pPr>
              <w:pStyle w:val="4"/>
            </w:pPr>
          </w:p>
        </w:tc>
        <w:tc>
          <w:tcPr>
            <w:tcW w:w="220" w:type="dxa"/>
          </w:tcPr>
          <w:p>
            <w:pPr>
              <w:pStyle w:val="4"/>
            </w:pPr>
          </w:p>
        </w:tc>
        <w:tc>
          <w:tcPr>
            <w:tcW w:w="3080" w:type="dxa"/>
            <w:gridSpan w:val="2"/>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4  投资组合报告</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4.1 报告期末产品资产组合情况</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项目</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金额（元）</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占产品总资产的比例（%）</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固定收益投资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其中：债券</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      非标资产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权益投资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10,398,595.16</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91.00%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其中：基金</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10,398,595.16</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91.00%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金融衍生品投资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4</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买入返售金融资产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其中：买断式回购</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5</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银行存款合计</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1,028,707.99</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6</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其他资产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7</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合计</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11,427,303.15</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100.00%</w:t>
            </w:r>
          </w:p>
        </w:tc>
        <w:tc>
          <w:tcPr>
            <w:tcW w:w="800" w:type="dxa"/>
          </w:tcPr>
          <w:p>
            <w:pPr>
              <w:pStyle w:val="4"/>
            </w:pPr>
          </w:p>
        </w:tc>
      </w:tr>
      <w:tr>
        <w:tblPrEx>
          <w:tblLayout w:type="fixed"/>
          <w:tblCellMar>
            <w:top w:w="0" w:type="dxa"/>
            <w:left w:w="10" w:type="dxa"/>
            <w:bottom w:w="0" w:type="dxa"/>
            <w:right w:w="10" w:type="dxa"/>
          </w:tblCellMar>
        </w:tblPrEx>
        <w:trPr>
          <w:trHeight w:val="2000" w:hRule="exact"/>
        </w:trPr>
        <w:tc>
          <w:tcPr>
            <w:tcW w:w="1" w:type="dxa"/>
          </w:tcPr>
          <w:p>
            <w:pPr>
              <w:pStyle w:val="4"/>
            </w:pPr>
          </w:p>
        </w:tc>
        <w:tc>
          <w:tcPr>
            <w:tcW w:w="800" w:type="dxa"/>
          </w:tcPr>
          <w:p>
            <w:pPr>
              <w:pStyle w:val="4"/>
            </w:pPr>
          </w:p>
        </w:tc>
        <w:tc>
          <w:tcPr>
            <w:tcW w:w="3200" w:type="dxa"/>
            <w:gridSpan w:val="5"/>
          </w:tcPr>
          <w:p>
            <w:pPr>
              <w:pStyle w:val="4"/>
            </w:pPr>
          </w:p>
        </w:tc>
        <w:tc>
          <w:tcPr>
            <w:tcW w:w="20" w:type="dxa"/>
          </w:tcPr>
          <w:p>
            <w:pPr>
              <w:pStyle w:val="4"/>
            </w:pPr>
          </w:p>
        </w:tc>
        <w:tc>
          <w:tcPr>
            <w:tcW w:w="3380" w:type="dxa"/>
            <w:gridSpan w:val="3"/>
          </w:tcPr>
          <w:p>
            <w:pPr>
              <w:pStyle w:val="4"/>
            </w:pPr>
          </w:p>
        </w:tc>
        <w:tc>
          <w:tcPr>
            <w:tcW w:w="220" w:type="dxa"/>
          </w:tcPr>
          <w:p>
            <w:pPr>
              <w:pStyle w:val="4"/>
            </w:pPr>
          </w:p>
        </w:tc>
        <w:tc>
          <w:tcPr>
            <w:tcW w:w="3080" w:type="dxa"/>
            <w:gridSpan w:val="2"/>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4.2 报告期末按债券品种分类的债券投资组合</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债券品种</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金额（元）</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占产品资产净值比例（％）</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国家债券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央行票据</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金融债券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其中：政策性金融债</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4</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企业债券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5</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企业短期融资券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6</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可转债</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7</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其他</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8</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合计</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2" w:name="JR_PAGE_ANCHOR_0_3"/>
            <w:bookmarkEnd w:id="2"/>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4.3 报告期末按市值占产品资产净值比例大小排名的前十名资产投资明细</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资产代码</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资产名称</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数量</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市值(元)</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center"/>
            </w:pPr>
            <w:r>
              <w:rPr>
                <w:rFonts w:ascii="原版宋体" w:hAnsi="原版宋体" w:eastAsia="原版宋体" w:cs="原版宋体"/>
                <w:b/>
                <w:color w:val="000000"/>
                <w:sz w:val="20"/>
              </w:rPr>
              <w:t>占产品资产净值比例（％）</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1</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166005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中欧价值发现混合型证券投资基金</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394,597.46</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841,202.87</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7.45%</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2</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003293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易方达科瑞混合</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423,706.38</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817,456.72</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7.24%</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3</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002450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平安睿享文娱灵活配置混合型证券投资基金</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380,289.30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780,733.93</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6.91%</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4</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450004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国富深化价值混合</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447,562.84</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776,655.80</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6.88%</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5</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000628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大成高新技术产业股票</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207,941.11</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690,156.54</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6.11%</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6</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310358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申万菱信新经济混合</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645,086.82</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675,276.88</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5.98%</w:t>
            </w:r>
          </w:p>
        </w:tc>
        <w:tc>
          <w:tcPr>
            <w:tcW w:w="800" w:type="dxa"/>
          </w:tcPr>
          <w:p>
            <w:pPr>
              <w:pStyle w:val="4"/>
            </w:pPr>
          </w:p>
        </w:tc>
      </w:tr>
      <w:tr>
        <w:tblPrEx>
          <w:tblLayout w:type="fixed"/>
          <w:tblCellMar>
            <w:top w:w="0" w:type="dxa"/>
            <w:left w:w="10" w:type="dxa"/>
            <w:bottom w:w="0" w:type="dxa"/>
            <w:right w:w="10" w:type="dxa"/>
          </w:tblCellMar>
        </w:tblPrEx>
        <w:trPr>
          <w:trHeight w:val="68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7</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001581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华安沪港深通精选灵活配置混合型证券投资基金</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316,376.73</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617,883.75</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5.47%</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8</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001071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华安媒体互联网混合A</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212,177.30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586,033.70</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5.19%</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9</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001186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富国文体健康股票A</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289,157.72</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578,604.60</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5.12%</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10</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007177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浙商智能行业优选混合发起式A</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369,798.90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500,079.05</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4.43%</w:t>
            </w:r>
          </w:p>
        </w:tc>
        <w:tc>
          <w:tcPr>
            <w:tcW w:w="800" w:type="dxa"/>
          </w:tcPr>
          <w:p>
            <w:pPr>
              <w:pStyle w:val="4"/>
            </w:pPr>
          </w:p>
        </w:tc>
      </w:tr>
      <w:tr>
        <w:tblPrEx>
          <w:tblLayout w:type="fixed"/>
          <w:tblCellMar>
            <w:top w:w="0" w:type="dxa"/>
            <w:left w:w="10" w:type="dxa"/>
            <w:bottom w:w="0" w:type="dxa"/>
            <w:right w:w="10" w:type="dxa"/>
          </w:tblCellMar>
        </w:tblPrEx>
        <w:trPr>
          <w:trHeight w:val="580" w:hRule="exact"/>
        </w:trPr>
        <w:tc>
          <w:tcPr>
            <w:tcW w:w="1" w:type="dxa"/>
          </w:tcPr>
          <w:p>
            <w:pPr>
              <w:pStyle w:val="4"/>
            </w:pPr>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 xml:space="preserve">4.4 </w:t>
            </w:r>
            <w:r>
              <w:rPr>
                <w:rFonts w:hint="eastAsia" w:ascii="原版宋体" w:hAnsi="原版宋体" w:eastAsia="原版宋体" w:cs="原版宋体"/>
                <w:color w:val="000000"/>
                <w:sz w:val="20"/>
              </w:rPr>
              <w:t>报告期内理财产品投资策略和运作分析</w:t>
            </w:r>
          </w:p>
        </w:tc>
        <w:tc>
          <w:tcPr>
            <w:tcW w:w="800" w:type="dxa"/>
          </w:tcPr>
          <w:p>
            <w:pPr>
              <w:pStyle w:val="4"/>
            </w:pPr>
          </w:p>
        </w:tc>
      </w:tr>
      <w:tr>
        <w:tblPrEx>
          <w:tblLayout w:type="fixed"/>
          <w:tblCellMar>
            <w:top w:w="0" w:type="dxa"/>
            <w:left w:w="10" w:type="dxa"/>
            <w:bottom w:w="0" w:type="dxa"/>
            <w:right w:w="10" w:type="dxa"/>
          </w:tblCellMar>
        </w:tblPrEx>
        <w:trPr>
          <w:trHeight w:val="333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 xml:space="preserve">    </w:t>
            </w:r>
            <w:r>
              <w:rPr>
                <w:rFonts w:hint="eastAsia" w:ascii="原版宋体" w:hAnsi="原版宋体" w:eastAsia="原版宋体" w:cs="原版宋体"/>
                <w:color w:val="000000"/>
                <w:sz w:val="20"/>
              </w:rPr>
              <w:t>2022年四季度，防疫政策全面调整，地产政策发力，A股震荡上行，主要宽基指数皆实现小幅上涨，港股表现出强劲的超跌反弹。回顾全年，股市在三年上涨后经历了非常艰难的一年，在俄乌战争、新冠疫情和美联储加息的笼罩下出现全面性下跌，成长板块受伤尤为严重，极少数板块幸免。本产品作为一</w:t>
            </w:r>
            <w:bookmarkStart w:id="3" w:name="_GoBack"/>
            <w:bookmarkEnd w:id="3"/>
            <w:r>
              <w:rPr>
                <w:rFonts w:hint="eastAsia" w:ascii="原版宋体" w:hAnsi="原版宋体" w:eastAsia="原版宋体" w:cs="原版宋体"/>
                <w:color w:val="000000"/>
                <w:sz w:val="20"/>
              </w:rPr>
              <w:t>款相对收益型产品，在过去一年中仓位长期维持在92%以上，较偏股基金指数取得5%以上的超额收益，主要产生于一季度，由行业配置层面贡献。展望2023年，后疫情时代社会生活有望全面正常化，国内经济渴望复苏，全球流动性边际改善。股市于较低估值位置轻装启程，我们判断赚钱效应有望重现并形成正反馈，机会远大于风险，出现“牛市”的概率不容忽视，需提升对于踏空风险的重视度。本产品将继续坚持相对收益的定位，力争在新的一年中继续跑赢偏股基金指数，在良好股市环境的助力下为投资者带来可观的绝对收益。</w:t>
            </w:r>
          </w:p>
        </w:tc>
        <w:tc>
          <w:tcPr>
            <w:tcW w:w="800" w:type="dxa"/>
          </w:tcPr>
          <w:p>
            <w:pPr>
              <w:pStyle w:val="4"/>
            </w:pPr>
          </w:p>
        </w:tc>
      </w:tr>
      <w:tr>
        <w:tblPrEx>
          <w:tblLayout w:type="fixed"/>
          <w:tblCellMar>
            <w:top w:w="0" w:type="dxa"/>
            <w:left w:w="10" w:type="dxa"/>
            <w:bottom w:w="0" w:type="dxa"/>
            <w:right w:w="10" w:type="dxa"/>
          </w:tblCellMar>
        </w:tblPrEx>
        <w:trPr>
          <w:trHeight w:val="1020" w:hRule="exact"/>
        </w:trPr>
        <w:tc>
          <w:tcPr>
            <w:tcW w:w="1" w:type="dxa"/>
          </w:tcPr>
          <w:p>
            <w:pPr>
              <w:pStyle w:val="4"/>
            </w:pPr>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rPr>
                <w:rFonts w:ascii="原版宋体" w:hAnsi="原版宋体" w:eastAsia="原版宋体" w:cs="原版宋体"/>
                <w:color w:val="000000"/>
                <w:sz w:val="20"/>
              </w:rPr>
            </w:pPr>
            <w:r>
              <w:rPr>
                <w:rFonts w:hint="eastAsia" w:ascii="原版宋体" w:hAnsi="原版宋体" w:eastAsia="原版宋体" w:cs="原版宋体"/>
                <w:b/>
                <w:color w:val="000000"/>
                <w:sz w:val="20"/>
                <w:lang w:val="en-US" w:eastAsia="zh-CN"/>
              </w:rPr>
              <w:t>5</w:t>
            </w:r>
            <w:r>
              <w:rPr>
                <w:rFonts w:ascii="原版宋体" w:hAnsi="原版宋体" w:eastAsia="原版宋体" w:cs="原版宋体"/>
                <w:b/>
                <w:color w:val="000000"/>
                <w:sz w:val="20"/>
              </w:rPr>
              <w:t xml:space="preserve">  </w:t>
            </w:r>
            <w:r>
              <w:rPr>
                <w:rFonts w:hint="eastAsia" w:ascii="原版宋体" w:hAnsi="原版宋体" w:eastAsia="原版宋体" w:cs="原版宋体"/>
                <w:b/>
                <w:color w:val="000000"/>
                <w:sz w:val="20"/>
                <w:lang w:eastAsia="zh-CN"/>
              </w:rPr>
              <w:t>投资账户信息</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户名</w:t>
            </w:r>
          </w:p>
        </w:tc>
        <w:tc>
          <w:tcPr>
            <w:tcW w:w="8643" w:type="dxa"/>
            <w:gridSpan w:val="11"/>
            <w:tcMar>
              <w:top w:w="0" w:type="dxa"/>
              <w:left w:w="0" w:type="dxa"/>
              <w:bottom w:w="0" w:type="dxa"/>
              <w:right w:w="0" w:type="dxa"/>
            </w:tcMar>
            <w:vAlign w:val="center"/>
          </w:tcPr>
          <w:p>
            <w:pPr>
              <w:jc w:val="center"/>
            </w:pPr>
            <w:r>
              <w:rPr>
                <w:rFonts w:hint="eastAsia" w:ascii="原版宋体" w:hAnsi="原版宋体" w:eastAsia="原版宋体" w:cs="原版宋体"/>
                <w:color w:val="000000"/>
                <w:sz w:val="20"/>
                <w:lang w:eastAsia="zh-CN"/>
              </w:rPr>
              <w:t xml:space="preserve">常熟农商银行常乐睿享价值精选1号净值型人民币理财产品 </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账号</w:t>
            </w:r>
          </w:p>
        </w:tc>
        <w:tc>
          <w:tcPr>
            <w:tcW w:w="8643" w:type="dxa"/>
            <w:gridSpan w:val="11"/>
            <w:tcMar>
              <w:top w:w="0" w:type="dxa"/>
              <w:left w:w="0" w:type="dxa"/>
              <w:bottom w:w="0" w:type="dxa"/>
              <w:right w:w="0" w:type="dxa"/>
            </w:tcMar>
            <w:vAlign w:val="center"/>
          </w:tcPr>
          <w:p>
            <w:pPr>
              <w:ind w:left="0" w:leftChars="0"/>
              <w:jc w:val="center"/>
            </w:pPr>
            <w:r>
              <w:rPr>
                <w:rFonts w:hint="eastAsia" w:ascii="原版宋体" w:hAnsi="原版宋体" w:eastAsia="原版宋体" w:cs="原版宋体"/>
                <w:color w:val="000000"/>
                <w:sz w:val="20"/>
                <w:lang w:eastAsia="zh-CN"/>
              </w:rPr>
              <w:t>03004741257</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开 户 行</w:t>
            </w:r>
          </w:p>
        </w:tc>
        <w:tc>
          <w:tcPr>
            <w:tcW w:w="8643" w:type="dxa"/>
            <w:gridSpan w:val="11"/>
            <w:tcMar>
              <w:top w:w="0" w:type="dxa"/>
              <w:left w:w="0" w:type="dxa"/>
              <w:bottom w:w="0" w:type="dxa"/>
              <w:right w:w="0" w:type="dxa"/>
            </w:tcMar>
            <w:vAlign w:val="center"/>
          </w:tcPr>
          <w:p>
            <w:pPr>
              <w:jc w:val="center"/>
            </w:pPr>
            <w:r>
              <w:rPr>
                <w:rFonts w:hint="eastAsia" w:ascii="原版宋体" w:hAnsi="原版宋体" w:eastAsia="原版宋体" w:cs="原版宋体"/>
                <w:color w:val="000000"/>
                <w:sz w:val="20"/>
                <w:lang w:eastAsia="zh-CN"/>
              </w:rPr>
              <w:t>上海银行股份有限公司常熟支行</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pPr>
            <w:r>
              <w:rPr>
                <w:rFonts w:ascii="原版宋体" w:hAnsi="原版宋体" w:eastAsia="原版宋体" w:cs="原版宋体"/>
                <w:color w:val="000000"/>
                <w:sz w:val="20"/>
              </w:rPr>
              <w:t xml:space="preserve">    特此公告。</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jc w:val="right"/>
            </w:pPr>
            <w:r>
              <w:rPr>
                <w:rFonts w:ascii="原版宋体" w:hAnsi="原版宋体" w:eastAsia="原版宋体" w:cs="原版宋体"/>
                <w:color w:val="000000"/>
                <w:sz w:val="20"/>
              </w:rPr>
              <w:t>江苏常熟农村商业银行股份有限公司</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jc w:val="right"/>
            </w:pPr>
            <w:r>
              <w:rPr>
                <w:rFonts w:ascii="原版宋体" w:hAnsi="原版宋体" w:eastAsia="原版宋体" w:cs="原版宋体"/>
                <w:color w:val="000000"/>
                <w:sz w:val="20"/>
              </w:rPr>
              <w:t>2023年01月30日</w:t>
            </w:r>
          </w:p>
        </w:tc>
        <w:tc>
          <w:tcPr>
            <w:tcW w:w="800" w:type="dxa"/>
          </w:tcPr>
          <w:p>
            <w:pPr>
              <w:pStyle w:val="4"/>
            </w:pPr>
          </w:p>
        </w:tc>
      </w:tr>
    </w:tbl>
    <w:p/>
    <w:sectPr>
      <w:pgSz w:w="13900" w:h="16860"/>
      <w:pgMar w:top="800" w:right="1200" w:bottom="440" w:left="12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原版宋体">
    <w:altName w:val="宋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800"/>
  <w:compat>
    <w:useFELayout/>
    <w:splitPgBreakAndParaMark/>
    <w:compatSetting w:name="compatibilityMode" w:uri="http://schemas.microsoft.com/office/word" w:val="12"/>
  </w:compat>
  <w:rsids>
    <w:rsidRoot w:val="00000000"/>
    <w:rsid w:val="6B4B75F1"/>
    <w:rsid w:val="7E005A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2023-01-31T05:57:00Z</dcterms:created>
  <dc:creator>crcb</dc:creator>
  <cp:lastModifiedBy>crcb</cp:lastModifiedBy>
  <dcterms:modified xsi:type="dcterms:W3CDTF">2023-02-01T08:06:48Z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