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1501" w:type="dxa"/>
        <w:tblInd w:w="0" w:type="dxa"/>
        <w:tblLayout w:type="fixed"/>
        <w:tblCellMar>
          <w:top w:w="0" w:type="dxa"/>
          <w:left w:w="10" w:type="dxa"/>
          <w:bottom w:w="0" w:type="dxa"/>
          <w:right w:w="10" w:type="dxa"/>
        </w:tblCellMar>
      </w:tblPr>
      <w:tblGrid>
        <w:gridCol w:w="1"/>
        <w:gridCol w:w="800"/>
        <w:gridCol w:w="1257"/>
        <w:gridCol w:w="743"/>
        <w:gridCol w:w="600"/>
        <w:gridCol w:w="200"/>
        <w:gridCol w:w="400"/>
        <w:gridCol w:w="20"/>
        <w:gridCol w:w="980"/>
        <w:gridCol w:w="2000"/>
        <w:gridCol w:w="400"/>
        <w:gridCol w:w="220"/>
        <w:gridCol w:w="1380"/>
        <w:gridCol w:w="1700"/>
        <w:gridCol w:w="800"/>
      </w:tblGrid>
      <w:tr>
        <w:tblPrEx>
          <w:tblLayout w:type="fixed"/>
          <w:tblCellMar>
            <w:top w:w="0" w:type="dxa"/>
            <w:left w:w="10" w:type="dxa"/>
            <w:bottom w:w="0" w:type="dxa"/>
            <w:right w:w="10" w:type="dxa"/>
          </w:tblCellMar>
        </w:tblPrEx>
        <w:trPr>
          <w:trHeight w:val="0" w:hRule="atLeast"/>
        </w:trPr>
        <w:tc>
          <w:tcPr>
            <w:tcW w:w="1" w:type="dxa"/>
          </w:tcPr>
          <w:p>
            <w:pPr>
              <w:pStyle w:val="4"/>
            </w:pPr>
            <w:bookmarkStart w:id="0" w:name="JR_PAGE_ANCHOR_0_1"/>
            <w:bookmarkEnd w:id="0"/>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18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240" w:lineRule="auto"/>
              <w:jc w:val="center"/>
            </w:pPr>
            <w:r>
              <w:rPr>
                <w:rFonts w:ascii="原版宋体" w:hAnsi="原版宋体" w:eastAsia="原版宋体" w:cs="原版宋体"/>
                <w:b/>
                <w:color w:val="000000"/>
                <w:sz w:val="40"/>
              </w:rPr>
              <w:t>“常乐瑞盈1号净值型理财产品”定期报告</w:t>
            </w:r>
          </w:p>
        </w:tc>
        <w:tc>
          <w:tcPr>
            <w:tcW w:w="800" w:type="dxa"/>
          </w:tcPr>
          <w:p>
            <w:pPr>
              <w:pStyle w:val="4"/>
            </w:pPr>
          </w:p>
        </w:tc>
      </w:tr>
      <w:tr>
        <w:tblPrEx>
          <w:tblLayout w:type="fixed"/>
          <w:tblCellMar>
            <w:top w:w="0" w:type="dxa"/>
            <w:left w:w="10" w:type="dxa"/>
            <w:bottom w:w="0" w:type="dxa"/>
            <w:right w:w="10" w:type="dxa"/>
          </w:tblCellMar>
        </w:tblPrEx>
        <w:trPr>
          <w:trHeight w:val="7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产品管理人：常熟农商银行</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产品托管人：宁波银行</w:t>
            </w:r>
          </w:p>
        </w:tc>
        <w:tc>
          <w:tcPr>
            <w:tcW w:w="800" w:type="dxa"/>
          </w:tcPr>
          <w:p>
            <w:pPr>
              <w:pStyle w:val="4"/>
            </w:pPr>
          </w:p>
        </w:tc>
      </w:tr>
      <w:tr>
        <w:tblPrEx>
          <w:tblLayout w:type="fixed"/>
          <w:tblCellMar>
            <w:top w:w="0" w:type="dxa"/>
            <w:left w:w="10" w:type="dxa"/>
            <w:bottom w:w="0" w:type="dxa"/>
            <w:right w:w="10" w:type="dxa"/>
          </w:tblCellMar>
        </w:tblPrEx>
        <w:trPr>
          <w:trHeight w:val="11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b/>
                <w:color w:val="000000"/>
                <w:sz w:val="20"/>
              </w:rPr>
              <w:t>1  重要提示</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 xml:space="preserve">    产品的过往业绩并不代表其未来表现。投资有风险，投资者在作出投资决策前应仔细阅读本产品说明书。</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 xml:space="preserve">    本报告中财务资料未经审计。</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 xml:space="preserve">    本报告期自2022年01月01日起至12月31日止。</w:t>
            </w:r>
          </w:p>
        </w:tc>
        <w:tc>
          <w:tcPr>
            <w:tcW w:w="800" w:type="dxa"/>
          </w:tcPr>
          <w:p>
            <w:pPr>
              <w:pStyle w:val="4"/>
            </w:pPr>
          </w:p>
        </w:tc>
      </w:tr>
      <w:tr>
        <w:tblPrEx>
          <w:tblLayout w:type="fixed"/>
          <w:tblCellMar>
            <w:top w:w="0" w:type="dxa"/>
            <w:left w:w="10" w:type="dxa"/>
            <w:bottom w:w="0" w:type="dxa"/>
            <w:right w:w="10" w:type="dxa"/>
          </w:tblCellMar>
        </w:tblPrEx>
        <w:trPr>
          <w:trHeight w:val="7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2  产品概况</w:t>
            </w:r>
          </w:p>
        </w:tc>
        <w:tc>
          <w:tcPr>
            <w:tcW w:w="800" w:type="dxa"/>
          </w:tcPr>
          <w:p>
            <w:pPr>
              <w:pStyle w:val="4"/>
            </w:pPr>
          </w:p>
        </w:tc>
      </w:tr>
      <w:tr>
        <w:tblPrEx>
          <w:tblLayout w:type="fixed"/>
          <w:tblCellMar>
            <w:top w:w="0" w:type="dxa"/>
            <w:left w:w="10" w:type="dxa"/>
            <w:bottom w:w="0" w:type="dxa"/>
            <w:right w:w="10" w:type="dxa"/>
          </w:tblCellMar>
        </w:tblPrEx>
        <w:trPr>
          <w:trHeight w:val="8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产品名称</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常乐瑞盈1号净值型理财产品</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产品编码</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RY001</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全国银行业理财信息登记系统编码</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C1115420000002</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产品运作方式</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开放式净值型</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产品类型</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固定收益类</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募集方式</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公募</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报告期末产品份额总额（万份）</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27098</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产品管理人</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常熟农商银行</w:t>
            </w:r>
          </w:p>
        </w:tc>
        <w:tc>
          <w:tcPr>
            <w:tcW w:w="800"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3  产品净值表现</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Pr>
          <w:p>
            <w:pPr>
              <w:pStyle w:val="4"/>
            </w:pPr>
          </w:p>
        </w:tc>
        <w:tc>
          <w:tcPr>
            <w:tcW w:w="7300" w:type="dxa"/>
            <w:gridSpan w:val="9"/>
            <w:tcMar>
              <w:top w:w="0" w:type="dxa"/>
              <w:left w:w="0" w:type="dxa"/>
              <w:bottom w:w="0" w:type="dxa"/>
              <w:right w:w="0" w:type="dxa"/>
            </w:tcMar>
            <w:vAlign w:val="center"/>
          </w:tcPr>
          <w:p>
            <w:pPr>
              <w:spacing w:before="0" w:after="0" w:line="360" w:lineRule="auto"/>
              <w:jc w:val="right"/>
            </w:pPr>
            <w:r>
              <w:rPr>
                <w:rFonts w:ascii="原版宋体" w:hAnsi="原版宋体" w:eastAsia="原版宋体" w:cs="原版宋体"/>
                <w:color w:val="000000"/>
                <w:sz w:val="20"/>
              </w:rPr>
              <w:t>（单位：元）</w:t>
            </w:r>
          </w:p>
        </w:tc>
        <w:tc>
          <w:tcPr>
            <w:tcW w:w="800"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报告期（2022年01月01日-2022年12月31日）</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1.期末产品资产净值</w:t>
            </w: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300,812,912.49</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2.期末产品份额净值</w:t>
            </w: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1.110055</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3.期末产品份额累计净值</w:t>
            </w: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1.110055</w:t>
            </w:r>
          </w:p>
        </w:tc>
        <w:tc>
          <w:tcPr>
            <w:tcW w:w="800"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1" w:name="JR_PAGE_ANCHOR_0_2"/>
            <w:bookmarkEnd w:id="1"/>
          </w:p>
        </w:tc>
        <w:tc>
          <w:tcPr>
            <w:tcW w:w="800" w:type="dxa"/>
          </w:tcPr>
          <w:p>
            <w:pPr>
              <w:pStyle w:val="4"/>
            </w:pPr>
          </w:p>
        </w:tc>
        <w:tc>
          <w:tcPr>
            <w:tcW w:w="3200" w:type="dxa"/>
            <w:gridSpan w:val="5"/>
          </w:tcPr>
          <w:p>
            <w:pPr>
              <w:pStyle w:val="4"/>
            </w:pPr>
          </w:p>
        </w:tc>
        <w:tc>
          <w:tcPr>
            <w:tcW w:w="20" w:type="dxa"/>
          </w:tcPr>
          <w:p>
            <w:pPr>
              <w:pStyle w:val="4"/>
            </w:pPr>
          </w:p>
        </w:tc>
        <w:tc>
          <w:tcPr>
            <w:tcW w:w="3380" w:type="dxa"/>
            <w:gridSpan w:val="3"/>
          </w:tcPr>
          <w:p>
            <w:pPr>
              <w:pStyle w:val="4"/>
            </w:pPr>
          </w:p>
        </w:tc>
        <w:tc>
          <w:tcPr>
            <w:tcW w:w="220" w:type="dxa"/>
          </w:tcPr>
          <w:p>
            <w:pPr>
              <w:pStyle w:val="4"/>
            </w:pPr>
          </w:p>
        </w:tc>
        <w:tc>
          <w:tcPr>
            <w:tcW w:w="3080" w:type="dxa"/>
            <w:gridSpan w:val="2"/>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4  投资组合报告</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4.1 报告期末产品资产组合情况</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项目</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金额（元）</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占产品总资产的比例（%）</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固定收益投资</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299,834,113.11</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94.68%</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其中：债券</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299,834,113.11</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94.68%</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      非标资产</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权益投资</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15,310,367.67</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4.83%</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其中：基金</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15,310,367.67</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4.83%</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金融衍生品投资</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4</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买入返售金融资产</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其中：买断式回购</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5</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银行存款合计</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1,542,480.96</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0.49%</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6</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其他资产</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7</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合计</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316,686,961.74</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100.00%</w:t>
            </w:r>
          </w:p>
        </w:tc>
        <w:tc>
          <w:tcPr>
            <w:tcW w:w="800" w:type="dxa"/>
          </w:tcPr>
          <w:p>
            <w:pPr>
              <w:pStyle w:val="4"/>
            </w:pPr>
          </w:p>
        </w:tc>
      </w:tr>
      <w:tr>
        <w:tblPrEx>
          <w:tblLayout w:type="fixed"/>
          <w:tblCellMar>
            <w:top w:w="0" w:type="dxa"/>
            <w:left w:w="10" w:type="dxa"/>
            <w:bottom w:w="0" w:type="dxa"/>
            <w:right w:w="10" w:type="dxa"/>
          </w:tblCellMar>
        </w:tblPrEx>
        <w:trPr>
          <w:trHeight w:val="2000" w:hRule="exact"/>
        </w:trPr>
        <w:tc>
          <w:tcPr>
            <w:tcW w:w="1" w:type="dxa"/>
          </w:tcPr>
          <w:p>
            <w:pPr>
              <w:pStyle w:val="4"/>
            </w:pPr>
          </w:p>
        </w:tc>
        <w:tc>
          <w:tcPr>
            <w:tcW w:w="800" w:type="dxa"/>
          </w:tcPr>
          <w:p>
            <w:pPr>
              <w:pStyle w:val="4"/>
            </w:pPr>
          </w:p>
        </w:tc>
        <w:tc>
          <w:tcPr>
            <w:tcW w:w="3200" w:type="dxa"/>
            <w:gridSpan w:val="5"/>
          </w:tcPr>
          <w:p>
            <w:pPr>
              <w:pStyle w:val="4"/>
            </w:pPr>
          </w:p>
        </w:tc>
        <w:tc>
          <w:tcPr>
            <w:tcW w:w="20" w:type="dxa"/>
          </w:tcPr>
          <w:p>
            <w:pPr>
              <w:pStyle w:val="4"/>
            </w:pPr>
          </w:p>
        </w:tc>
        <w:tc>
          <w:tcPr>
            <w:tcW w:w="3380" w:type="dxa"/>
            <w:gridSpan w:val="3"/>
          </w:tcPr>
          <w:p>
            <w:pPr>
              <w:pStyle w:val="4"/>
            </w:pPr>
          </w:p>
        </w:tc>
        <w:tc>
          <w:tcPr>
            <w:tcW w:w="220" w:type="dxa"/>
          </w:tcPr>
          <w:p>
            <w:pPr>
              <w:pStyle w:val="4"/>
            </w:pPr>
          </w:p>
        </w:tc>
        <w:tc>
          <w:tcPr>
            <w:tcW w:w="3080" w:type="dxa"/>
            <w:gridSpan w:val="2"/>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4.2 报告期末按债券品种分类的债券投资组合</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债券品种</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金额（元）</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占产品资产净值比例（％）</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国家债券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央行票据</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金融债券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30,492,894.04</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10.14%</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其中：政策性金融债</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15,144,562.40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5.03%</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4</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企业债券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269,341,219.07</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89.54%</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5</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企业短期融资券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6</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可转债</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7</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其他</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8</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合计</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299,834,113.11</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99.68%</w:t>
            </w:r>
          </w:p>
        </w:tc>
        <w:tc>
          <w:tcPr>
            <w:tcW w:w="800"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2" w:name="JR_PAGE_ANCHOR_0_3"/>
            <w:bookmarkEnd w:id="2"/>
          </w:p>
        </w:tc>
        <w:tc>
          <w:tcPr>
            <w:tcW w:w="800" w:type="dxa"/>
          </w:tcPr>
          <w:p>
            <w:pPr>
              <w:pStyle w:val="4"/>
            </w:pPr>
          </w:p>
        </w:tc>
        <w:tc>
          <w:tcPr>
            <w:tcW w:w="2000" w:type="dxa"/>
            <w:gridSpan w:val="2"/>
          </w:tcPr>
          <w:p>
            <w:pPr>
              <w:pStyle w:val="4"/>
            </w:pPr>
          </w:p>
        </w:tc>
        <w:tc>
          <w:tcPr>
            <w:tcW w:w="2200" w:type="dxa"/>
            <w:gridSpan w:val="5"/>
          </w:tcPr>
          <w:p>
            <w:pPr>
              <w:pStyle w:val="4"/>
            </w:pPr>
          </w:p>
        </w:tc>
        <w:tc>
          <w:tcPr>
            <w:tcW w:w="2000" w:type="dxa"/>
          </w:tcPr>
          <w:p>
            <w:pPr>
              <w:pStyle w:val="4"/>
            </w:pPr>
          </w:p>
        </w:tc>
        <w:tc>
          <w:tcPr>
            <w:tcW w:w="2000" w:type="dxa"/>
            <w:gridSpan w:val="3"/>
          </w:tcPr>
          <w:p>
            <w:pPr>
              <w:pStyle w:val="4"/>
            </w:pPr>
          </w:p>
        </w:tc>
        <w:tc>
          <w:tcPr>
            <w:tcW w:w="1700" w:type="dxa"/>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4.3 报告期末按市值占产品资产净值比例大小排名的前十名资产投资明细</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资产代码</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资产名称</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数量</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市值(元)</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center"/>
            </w:pPr>
            <w:r>
              <w:rPr>
                <w:rFonts w:ascii="原版宋体" w:hAnsi="原版宋体" w:eastAsia="原版宋体" w:cs="原版宋体"/>
                <w:b/>
                <w:color w:val="000000"/>
                <w:sz w:val="20"/>
              </w:rPr>
              <w:t>占产品资产净值比例（％）</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1</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032280320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22迈瑞城投PPN002</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25,000,000.00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26,401,644.69</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8.78%</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2</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SS194041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22渝合D1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25,000,000.00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25,876,513.76</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8.60%</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3</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SS196979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21富皋02</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25,000,000.00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25,827,691.83</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8.59%</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4</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SS197161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21扬经开</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25,000,000.00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25,537,412.58</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8.49%</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5</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SS178195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21东台02</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23,000,000.00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24,727,096.53</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8.22%</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6</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SS197355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21德发03</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17,000,000.00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17,433,253.14</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5.80%</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7</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SS197059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21袍工03</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17,000,000.00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17,299,439.39</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5.75%</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8</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SS197716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21袍工05</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15,000,000.00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15,408,848.44</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5.12%</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9</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2020041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20海峡银行01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15,000,000.00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15,348,331.64</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5.10%</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10</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210322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21进出22</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15,000,000.00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15,144,562.40</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5.03%</w:t>
            </w:r>
          </w:p>
        </w:tc>
        <w:tc>
          <w:tcPr>
            <w:tcW w:w="800" w:type="dxa"/>
          </w:tcPr>
          <w:p>
            <w:pPr>
              <w:pStyle w:val="4"/>
            </w:pPr>
          </w:p>
        </w:tc>
      </w:tr>
      <w:tr>
        <w:tblPrEx>
          <w:tblLayout w:type="fixed"/>
          <w:tblCellMar>
            <w:top w:w="0" w:type="dxa"/>
            <w:left w:w="10" w:type="dxa"/>
            <w:bottom w:w="0" w:type="dxa"/>
            <w:right w:w="10" w:type="dxa"/>
          </w:tblCellMar>
        </w:tblPrEx>
        <w:trPr>
          <w:trHeight w:val="580" w:hRule="exact"/>
        </w:trPr>
        <w:tc>
          <w:tcPr>
            <w:tcW w:w="1" w:type="dxa"/>
          </w:tcPr>
          <w:p>
            <w:pPr>
              <w:pStyle w:val="4"/>
            </w:pPr>
          </w:p>
        </w:tc>
        <w:tc>
          <w:tcPr>
            <w:tcW w:w="800" w:type="dxa"/>
          </w:tcPr>
          <w:p>
            <w:pPr>
              <w:pStyle w:val="4"/>
            </w:pPr>
          </w:p>
        </w:tc>
        <w:tc>
          <w:tcPr>
            <w:tcW w:w="2000" w:type="dxa"/>
            <w:gridSpan w:val="2"/>
          </w:tcPr>
          <w:p>
            <w:pPr>
              <w:pStyle w:val="4"/>
            </w:pPr>
          </w:p>
        </w:tc>
        <w:tc>
          <w:tcPr>
            <w:tcW w:w="2200" w:type="dxa"/>
            <w:gridSpan w:val="5"/>
          </w:tcPr>
          <w:p>
            <w:pPr>
              <w:pStyle w:val="4"/>
            </w:pPr>
          </w:p>
        </w:tc>
        <w:tc>
          <w:tcPr>
            <w:tcW w:w="2000" w:type="dxa"/>
          </w:tcPr>
          <w:p>
            <w:pPr>
              <w:pStyle w:val="4"/>
            </w:pPr>
          </w:p>
        </w:tc>
        <w:tc>
          <w:tcPr>
            <w:tcW w:w="2000" w:type="dxa"/>
            <w:gridSpan w:val="3"/>
          </w:tcPr>
          <w:p>
            <w:pPr>
              <w:pStyle w:val="4"/>
            </w:pPr>
          </w:p>
        </w:tc>
        <w:tc>
          <w:tcPr>
            <w:tcW w:w="1700" w:type="dxa"/>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4.4 报告期末投资组合流动性风险分析</w:t>
            </w:r>
          </w:p>
        </w:tc>
        <w:tc>
          <w:tcPr>
            <w:tcW w:w="800"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 xml:space="preserve">    报告期内，产品管理人通过合理安排资产配置结构，保持一定比例的高流动性资产，控制资产久期、杠杆融资比例，管控产品流动性风险。持仓中利率债、同业存单及高等级信用债占比较高，对于关键时点的规模变动和资金面波动都有充足的准备，且融资渠道畅通多元，风险总体可控。</w:t>
            </w:r>
          </w:p>
        </w:tc>
        <w:tc>
          <w:tcPr>
            <w:tcW w:w="800" w:type="dxa"/>
          </w:tcPr>
          <w:p>
            <w:pPr>
              <w:pStyle w:val="4"/>
            </w:pPr>
          </w:p>
        </w:tc>
      </w:tr>
      <w:tr>
        <w:tblPrEx>
          <w:tblLayout w:type="fixed"/>
          <w:tblCellMar>
            <w:top w:w="0" w:type="dxa"/>
            <w:left w:w="10" w:type="dxa"/>
            <w:bottom w:w="0" w:type="dxa"/>
            <w:right w:w="10" w:type="dxa"/>
          </w:tblCellMar>
        </w:tblPrEx>
        <w:trPr>
          <w:trHeight w:val="1020" w:hRule="exact"/>
        </w:trPr>
        <w:tc>
          <w:tcPr>
            <w:tcW w:w="1" w:type="dxa"/>
          </w:tcPr>
          <w:p>
            <w:pPr>
              <w:pStyle w:val="4"/>
            </w:pPr>
          </w:p>
        </w:tc>
        <w:tc>
          <w:tcPr>
            <w:tcW w:w="800" w:type="dxa"/>
          </w:tcPr>
          <w:p>
            <w:pPr>
              <w:pStyle w:val="4"/>
            </w:pPr>
          </w:p>
        </w:tc>
        <w:tc>
          <w:tcPr>
            <w:tcW w:w="2000" w:type="dxa"/>
            <w:gridSpan w:val="2"/>
          </w:tcPr>
          <w:p>
            <w:pPr>
              <w:pStyle w:val="4"/>
            </w:pPr>
          </w:p>
        </w:tc>
        <w:tc>
          <w:tcPr>
            <w:tcW w:w="2200" w:type="dxa"/>
            <w:gridSpan w:val="5"/>
          </w:tcPr>
          <w:p>
            <w:pPr>
              <w:pStyle w:val="4"/>
            </w:pPr>
          </w:p>
        </w:tc>
        <w:tc>
          <w:tcPr>
            <w:tcW w:w="2000" w:type="dxa"/>
          </w:tcPr>
          <w:p>
            <w:pPr>
              <w:pStyle w:val="4"/>
            </w:pPr>
          </w:p>
        </w:tc>
        <w:tc>
          <w:tcPr>
            <w:tcW w:w="2000" w:type="dxa"/>
            <w:gridSpan w:val="3"/>
          </w:tcPr>
          <w:p>
            <w:pPr>
              <w:pStyle w:val="4"/>
            </w:pPr>
          </w:p>
        </w:tc>
        <w:tc>
          <w:tcPr>
            <w:tcW w:w="1700" w:type="dxa"/>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rPr>
                <w:rFonts w:ascii="原版宋体" w:hAnsi="原版宋体" w:eastAsia="原版宋体" w:cs="原版宋体"/>
                <w:color w:val="000000"/>
                <w:sz w:val="20"/>
              </w:rPr>
            </w:pPr>
            <w:r>
              <w:rPr>
                <w:rFonts w:hint="eastAsia" w:ascii="原版宋体" w:hAnsi="原版宋体" w:eastAsia="原版宋体" w:cs="原版宋体"/>
                <w:b/>
                <w:color w:val="000000"/>
                <w:sz w:val="20"/>
                <w:lang w:val="en-US" w:eastAsia="zh-CN"/>
              </w:rPr>
              <w:t>5</w:t>
            </w:r>
            <w:r>
              <w:rPr>
                <w:rFonts w:ascii="原版宋体" w:hAnsi="原版宋体" w:eastAsia="原版宋体" w:cs="原版宋体"/>
                <w:b/>
                <w:color w:val="000000"/>
                <w:sz w:val="20"/>
              </w:rPr>
              <w:t xml:space="preserve">  </w:t>
            </w:r>
            <w:r>
              <w:rPr>
                <w:rFonts w:hint="eastAsia" w:ascii="原版宋体" w:hAnsi="原版宋体" w:eastAsia="原版宋体" w:cs="原版宋体"/>
                <w:b/>
                <w:color w:val="000000"/>
                <w:sz w:val="20"/>
                <w:lang w:eastAsia="zh-CN"/>
              </w:rPr>
              <w:t>投资账户信息</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户名</w:t>
            </w:r>
          </w:p>
        </w:tc>
        <w:tc>
          <w:tcPr>
            <w:tcW w:w="8643" w:type="dxa"/>
            <w:gridSpan w:val="11"/>
            <w:tcMar>
              <w:top w:w="0" w:type="dxa"/>
              <w:left w:w="0" w:type="dxa"/>
              <w:bottom w:w="0" w:type="dxa"/>
              <w:right w:w="0" w:type="dxa"/>
            </w:tcMar>
            <w:vAlign w:val="center"/>
          </w:tcPr>
          <w:p>
            <w:pPr>
              <w:jc w:val="center"/>
            </w:pPr>
            <w:r>
              <w:rPr>
                <w:rFonts w:hint="eastAsia" w:ascii="原版宋体" w:hAnsi="原版宋体" w:eastAsia="原版宋体" w:cs="原版宋体"/>
                <w:color w:val="000000"/>
                <w:sz w:val="20"/>
                <w:lang w:eastAsia="zh-CN"/>
              </w:rPr>
              <w:t>常乐瑞盈1号净值型理财产品</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账号</w:t>
            </w:r>
          </w:p>
        </w:tc>
        <w:tc>
          <w:tcPr>
            <w:tcW w:w="8643" w:type="dxa"/>
            <w:gridSpan w:val="11"/>
            <w:tcMar>
              <w:top w:w="0" w:type="dxa"/>
              <w:left w:w="0" w:type="dxa"/>
              <w:bottom w:w="0" w:type="dxa"/>
              <w:right w:w="0" w:type="dxa"/>
            </w:tcMar>
            <w:vAlign w:val="center"/>
          </w:tcPr>
          <w:p>
            <w:pPr>
              <w:jc w:val="center"/>
            </w:pPr>
            <w:r>
              <w:rPr>
                <w:rFonts w:hint="eastAsia" w:asciiTheme="minorEastAsia" w:hAnsiTheme="minorEastAsia" w:eastAsiaTheme="minorEastAsia" w:cstheme="minorEastAsia"/>
                <w:sz w:val="20"/>
                <w:szCs w:val="21"/>
              </w:rPr>
              <w:t>70970122000112108001</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开 户 行</w:t>
            </w:r>
          </w:p>
        </w:tc>
        <w:tc>
          <w:tcPr>
            <w:tcW w:w="8643" w:type="dxa"/>
            <w:gridSpan w:val="11"/>
            <w:tcMar>
              <w:top w:w="0" w:type="dxa"/>
              <w:left w:w="0" w:type="dxa"/>
              <w:bottom w:w="0" w:type="dxa"/>
              <w:right w:w="0" w:type="dxa"/>
            </w:tcMar>
            <w:vAlign w:val="center"/>
          </w:tcPr>
          <w:p>
            <w:pPr>
              <w:jc w:val="center"/>
            </w:pPr>
            <w:r>
              <w:rPr>
                <w:rFonts w:hint="eastAsia" w:ascii="原版宋体" w:hAnsi="原版宋体" w:eastAsia="原版宋体" w:cs="原版宋体"/>
                <w:color w:val="000000"/>
                <w:sz w:val="20"/>
                <w:lang w:eastAsia="zh-CN"/>
              </w:rPr>
              <w:t>宁波银行股份有限公司上海分行</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pPr>
              <w:spacing w:before="0" w:after="0" w:line="360" w:lineRule="auto"/>
            </w:pPr>
            <w:r>
              <w:rPr>
                <w:rFonts w:ascii="原版宋体" w:hAnsi="原版宋体" w:eastAsia="原版宋体" w:cs="原版宋体"/>
                <w:color w:val="000000"/>
                <w:sz w:val="20"/>
              </w:rPr>
              <w:t xml:space="preserve">    特此公告。</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pPr>
              <w:spacing w:before="0" w:after="0" w:line="360" w:lineRule="auto"/>
              <w:jc w:val="right"/>
            </w:pPr>
            <w:r>
              <w:rPr>
                <w:rFonts w:ascii="原版宋体" w:hAnsi="原版宋体" w:eastAsia="原版宋体" w:cs="原版宋体"/>
                <w:color w:val="000000"/>
                <w:sz w:val="20"/>
              </w:rPr>
              <w:t>江苏常熟农村商业银行股份有限公司</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pPr>
              <w:spacing w:before="0" w:after="0" w:line="360" w:lineRule="auto"/>
              <w:jc w:val="right"/>
            </w:pPr>
            <w:r>
              <w:rPr>
                <w:rFonts w:ascii="原版宋体" w:hAnsi="原版宋体" w:eastAsia="原版宋体" w:cs="原版宋体"/>
                <w:color w:val="000000"/>
                <w:sz w:val="20"/>
              </w:rPr>
              <w:t>2023年01月30日</w:t>
            </w:r>
          </w:p>
        </w:tc>
        <w:tc>
          <w:tcPr>
            <w:tcW w:w="800" w:type="dxa"/>
          </w:tcPr>
          <w:p>
            <w:pPr>
              <w:pStyle w:val="4"/>
            </w:pPr>
          </w:p>
        </w:tc>
      </w:tr>
    </w:tbl>
    <w:p>
      <w:bookmarkStart w:id="3" w:name="_GoBack"/>
      <w:bookmarkEnd w:id="3"/>
    </w:p>
    <w:sectPr>
      <w:pgSz w:w="13900" w:h="16860"/>
      <w:pgMar w:top="800" w:right="1200" w:bottom="440" w:left="12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原版宋体">
    <w:altName w:val="宋体"/>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800"/>
  <w:compat>
    <w:useFELayout/>
    <w:splitPgBreakAndParaMark/>
    <w:compatSetting w:name="compatibilityMode" w:uri="http://schemas.microsoft.com/office/word" w:val="12"/>
  </w:compat>
  <w:rsids>
    <w:rsidRoot w:val="00000000"/>
    <w:rsid w:val="15800E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2023-01-30T07:24:00Z</dcterms:created>
  <dc:creator>crcb</dc:creator>
  <cp:lastModifiedBy>crcb</cp:lastModifiedBy>
  <dcterms:modified xsi:type="dcterms:W3CDTF">2023-01-30T07:24:26Z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